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075" w:rsidRPr="00717389" w:rsidRDefault="00BD242D" w:rsidP="00717389">
      <w:pPr>
        <w:pStyle w:val="Title"/>
      </w:pPr>
      <w:r w:rsidRPr="00717389">
        <w:t>Leddon_</w:t>
      </w:r>
      <w:r w:rsidR="00BD3C3D">
        <w:t>Plosone_2012_</w:t>
      </w:r>
      <w:bookmarkStart w:id="0" w:name="_GoBack"/>
      <w:bookmarkEnd w:id="0"/>
      <w:r w:rsidRPr="00717389">
        <w:t>protocol</w:t>
      </w:r>
    </w:p>
    <w:p w:rsidR="008D53AB" w:rsidRDefault="008D53AB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  <w:r w:rsidRPr="00717389">
        <w:rPr>
          <w:rFonts w:asciiTheme="majorHAnsi" w:hAnsiTheme="majorHAnsi" w:cs="AdvP403A40"/>
          <w:b/>
          <w:sz w:val="23"/>
          <w:szCs w:val="23"/>
        </w:rPr>
        <w:t>Ethics Statement</w:t>
      </w: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cs="AdvP49811"/>
          <w:sz w:val="23"/>
          <w:szCs w:val="23"/>
        </w:rPr>
      </w:pPr>
      <w:r w:rsidRPr="00717389">
        <w:rPr>
          <w:rFonts w:cs="AdvP49811"/>
          <w:sz w:val="23"/>
          <w:szCs w:val="23"/>
        </w:rPr>
        <w:t>All experiments for this study were performed in strict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accordance with the recommendations in the Guide for the Care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and Use of Laboratory Animals of the National Institutes of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Health and with the approval of Animal Care and Use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Committees at the University of Rochester (protocol 2008-023).</w:t>
      </w:r>
    </w:p>
    <w:p w:rsidR="00524AC2" w:rsidRPr="00717389" w:rsidRDefault="00524AC2" w:rsidP="00717389">
      <w:pPr>
        <w:autoSpaceDE w:val="0"/>
        <w:autoSpaceDN w:val="0"/>
        <w:adjustRightInd w:val="0"/>
        <w:spacing w:after="0" w:line="360" w:lineRule="auto"/>
        <w:rPr>
          <w:rFonts w:cs="AdvP403A40"/>
          <w:sz w:val="23"/>
          <w:szCs w:val="23"/>
        </w:rPr>
      </w:pP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  <w:r w:rsidRPr="00717389">
        <w:rPr>
          <w:rFonts w:asciiTheme="majorHAnsi" w:hAnsiTheme="majorHAnsi" w:cs="AdvP403A40"/>
          <w:b/>
          <w:sz w:val="23"/>
          <w:szCs w:val="23"/>
        </w:rPr>
        <w:t>Immunizations</w:t>
      </w: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cs="AdvP49811"/>
          <w:sz w:val="23"/>
          <w:szCs w:val="23"/>
        </w:rPr>
      </w:pPr>
      <w:r w:rsidRPr="00717389">
        <w:rPr>
          <w:rFonts w:cs="AdvP49811"/>
          <w:sz w:val="23"/>
          <w:szCs w:val="23"/>
        </w:rPr>
        <w:t>Two to four month old BALB/c mice (National Cancer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Institute, Frederick, MD) were immunized in the pinna of both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ears with 10 </w:t>
      </w:r>
      <w:r w:rsidRPr="00717389">
        <w:rPr>
          <w:rFonts w:cs="AdvP697C"/>
          <w:sz w:val="23"/>
          <w:szCs w:val="23"/>
        </w:rPr>
        <w:t>m</w:t>
      </w:r>
      <w:r w:rsidRPr="00717389">
        <w:rPr>
          <w:rFonts w:cs="AdvP49811"/>
          <w:sz w:val="23"/>
          <w:szCs w:val="23"/>
        </w:rPr>
        <w:t xml:space="preserve">L of an IFA/PBS emulsion containing 5 </w:t>
      </w:r>
      <w:r w:rsidRPr="00717389">
        <w:rPr>
          <w:rFonts w:cs="AdvP697C"/>
          <w:sz w:val="23"/>
          <w:szCs w:val="23"/>
        </w:rPr>
        <w:t>m</w:t>
      </w:r>
      <w:r w:rsidRPr="00717389">
        <w:rPr>
          <w:rFonts w:cs="AdvP49811"/>
          <w:sz w:val="23"/>
          <w:szCs w:val="23"/>
        </w:rPr>
        <w:t>g of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protein (10 </w:t>
      </w:r>
      <w:r w:rsidRPr="00717389">
        <w:rPr>
          <w:rFonts w:cs="AdvP697C"/>
          <w:sz w:val="23"/>
          <w:szCs w:val="23"/>
        </w:rPr>
        <w:t>m</w:t>
      </w:r>
      <w:r w:rsidRPr="00717389">
        <w:rPr>
          <w:rFonts w:cs="AdvP49811"/>
          <w:sz w:val="23"/>
          <w:szCs w:val="23"/>
        </w:rPr>
        <w:t xml:space="preserve">g/mouse) and 0.6 </w:t>
      </w:r>
      <w:r w:rsidRPr="00717389">
        <w:rPr>
          <w:rFonts w:cs="AdvP697C"/>
          <w:sz w:val="23"/>
          <w:szCs w:val="23"/>
        </w:rPr>
        <w:t>m</w:t>
      </w:r>
      <w:r w:rsidRPr="00717389">
        <w:rPr>
          <w:rFonts w:cs="AdvP49811"/>
          <w:sz w:val="23"/>
          <w:szCs w:val="23"/>
        </w:rPr>
        <w:t>g/mL LPS (Sigma-Aldrich). For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experiments evaluating kinetic stability peptide variants, the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portion of the pinna containing the emulsion was excised three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days post-immunization. For cell sorting experiments, unless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otherwise indicated, for each immunizing protein and replicate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experiment, 50–70 mice were sacrificed 8 to 9 days </w:t>
      </w:r>
      <w:proofErr w:type="spellStart"/>
      <w:r w:rsidRPr="00717389">
        <w:rPr>
          <w:rFonts w:cs="AdvP49811"/>
          <w:sz w:val="23"/>
          <w:szCs w:val="23"/>
        </w:rPr>
        <w:t>postimmunization</w:t>
      </w:r>
      <w:proofErr w:type="spellEnd"/>
      <w:r w:rsidRPr="00717389">
        <w:rPr>
          <w:rFonts w:cs="AdvP49811"/>
          <w:sz w:val="23"/>
          <w:szCs w:val="23"/>
        </w:rPr>
        <w:t>,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and draining cervical lymph nodes were harvested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and pooled as the source of T cells for assays.</w:t>
      </w:r>
    </w:p>
    <w:p w:rsidR="00524AC2" w:rsidRPr="00717389" w:rsidRDefault="00524AC2" w:rsidP="00717389">
      <w:pPr>
        <w:autoSpaceDE w:val="0"/>
        <w:autoSpaceDN w:val="0"/>
        <w:adjustRightInd w:val="0"/>
        <w:spacing w:after="0" w:line="360" w:lineRule="auto"/>
        <w:rPr>
          <w:rFonts w:cs="AdvP403A40"/>
          <w:sz w:val="23"/>
          <w:szCs w:val="23"/>
        </w:rPr>
      </w:pP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  <w:r w:rsidRPr="00717389">
        <w:rPr>
          <w:rFonts w:asciiTheme="majorHAnsi" w:hAnsiTheme="majorHAnsi" w:cs="AdvP403A40"/>
          <w:b/>
          <w:sz w:val="23"/>
          <w:szCs w:val="23"/>
        </w:rPr>
        <w:t>Antibodies and Peptides</w:t>
      </w: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cs="AdvP49811"/>
          <w:sz w:val="23"/>
          <w:szCs w:val="23"/>
        </w:rPr>
      </w:pPr>
      <w:r w:rsidRPr="00717389">
        <w:rPr>
          <w:rFonts w:cs="AdvP49811"/>
          <w:sz w:val="23"/>
          <w:szCs w:val="23"/>
        </w:rPr>
        <w:t>Purified anti-IL-2 (JES6-1A12), anti-IL-2-biotin (JES6-5H4),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purified anti-</w:t>
      </w:r>
      <w:proofErr w:type="spellStart"/>
      <w:r w:rsidRPr="00717389">
        <w:rPr>
          <w:rFonts w:cs="AdvP49811"/>
          <w:sz w:val="23"/>
          <w:szCs w:val="23"/>
        </w:rPr>
        <w:t>IFN</w:t>
      </w:r>
      <w:r w:rsidR="003A5D01" w:rsidRPr="00717389">
        <w:rPr>
          <w:rFonts w:cs="AdvP3EAA99"/>
          <w:sz w:val="23"/>
          <w:szCs w:val="23"/>
        </w:rPr>
        <w:t>g</w:t>
      </w:r>
      <w:proofErr w:type="spellEnd"/>
      <w:r w:rsidRPr="00717389">
        <w:rPr>
          <w:rFonts w:cs="AdvP3EAA99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(AN-18), anti-</w:t>
      </w:r>
      <w:proofErr w:type="spellStart"/>
      <w:r w:rsidRPr="00717389">
        <w:rPr>
          <w:rFonts w:cs="AdvP49811"/>
          <w:sz w:val="23"/>
          <w:szCs w:val="23"/>
        </w:rPr>
        <w:t>IFN</w:t>
      </w:r>
      <w:r w:rsidR="003A5D01" w:rsidRPr="00717389">
        <w:rPr>
          <w:rFonts w:cs="AdvP3EAA99"/>
          <w:sz w:val="23"/>
          <w:szCs w:val="23"/>
        </w:rPr>
        <w:t>g</w:t>
      </w:r>
      <w:proofErr w:type="spellEnd"/>
      <w:r w:rsidRPr="00717389">
        <w:rPr>
          <w:rFonts w:cs="AdvP49811"/>
          <w:sz w:val="23"/>
          <w:szCs w:val="23"/>
        </w:rPr>
        <w:t>-biotin (XMG1.2), purified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anti-IL-4 (11B11), anti-IL-4-biotin (BVD6-24G2), Fc Block (2.4G2),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anti-CD4-PE-Cy7 (RM4-5), anti-CD4-V450 (RM4-5), anti-B220-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PE-Cy5 (RA3-6B2), anti-CD44-APC-Cy7 (IM7), anti-CXCR5-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biotin (2G8), and anti-BCL6-Alexa647 (K112-91) antibodies were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obtained from</w:t>
      </w:r>
      <w:r w:rsidR="003A5D01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BD Biosciences (San Jose, CA). Anti-ICOS-Alexa488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(C398.4A), anti-CD69-Alexa488 (H1.2F3), anti-CD62L-Alexa488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(MEL-14), and anti-CCR7-Alexa488 (4B12) antibodies were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obtained from </w:t>
      </w:r>
      <w:proofErr w:type="spellStart"/>
      <w:r w:rsidRPr="00717389">
        <w:rPr>
          <w:rFonts w:cs="AdvP49811"/>
          <w:sz w:val="23"/>
          <w:szCs w:val="23"/>
        </w:rPr>
        <w:t>BioLegend</w:t>
      </w:r>
      <w:proofErr w:type="spellEnd"/>
      <w:r w:rsidRPr="00717389">
        <w:rPr>
          <w:rFonts w:cs="AdvP49811"/>
          <w:sz w:val="23"/>
          <w:szCs w:val="23"/>
        </w:rPr>
        <w:t xml:space="preserve"> (San Diego, CA). Anti-PD1-FITC (J43),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anti-PD1-PE-Cy7 (J43), and IL-21 ELISPOT capture and detection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(components of the Mouse IL-21 ELISPOT Ready-SET-Go!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reagent set) antibodies were obtained from </w:t>
      </w:r>
      <w:proofErr w:type="spellStart"/>
      <w:r w:rsidRPr="00717389">
        <w:rPr>
          <w:rFonts w:cs="AdvP49811"/>
          <w:sz w:val="23"/>
          <w:szCs w:val="23"/>
        </w:rPr>
        <w:t>eBioscience</w:t>
      </w:r>
      <w:proofErr w:type="spellEnd"/>
      <w:r w:rsidRPr="00717389">
        <w:rPr>
          <w:rFonts w:cs="AdvP49811"/>
          <w:sz w:val="23"/>
          <w:szCs w:val="23"/>
        </w:rPr>
        <w:t>. All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synthetic peptides were purchased from </w:t>
      </w:r>
      <w:proofErr w:type="spellStart"/>
      <w:r w:rsidRPr="00717389">
        <w:rPr>
          <w:rFonts w:cs="AdvP49811"/>
          <w:sz w:val="23"/>
          <w:szCs w:val="23"/>
        </w:rPr>
        <w:t>BioPeptide</w:t>
      </w:r>
      <w:proofErr w:type="spellEnd"/>
      <w:r w:rsidRPr="00717389">
        <w:rPr>
          <w:rFonts w:cs="AdvP49811"/>
          <w:sz w:val="23"/>
          <w:szCs w:val="23"/>
        </w:rPr>
        <w:t xml:space="preserve"> (San Diego,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CA) or produced in-ho</w:t>
      </w:r>
      <w:r w:rsidR="003A5D01" w:rsidRPr="00717389">
        <w:rPr>
          <w:rFonts w:cs="AdvP49811"/>
          <w:sz w:val="23"/>
          <w:szCs w:val="23"/>
        </w:rPr>
        <w:t>use</w:t>
      </w:r>
      <w:r w:rsidRPr="00717389">
        <w:rPr>
          <w:rFonts w:cs="AdvP49811"/>
          <w:sz w:val="23"/>
          <w:szCs w:val="23"/>
        </w:rPr>
        <w:t>.</w:t>
      </w:r>
    </w:p>
    <w:p w:rsidR="00524AC2" w:rsidRDefault="00524AC2" w:rsidP="00717389">
      <w:pPr>
        <w:autoSpaceDE w:val="0"/>
        <w:autoSpaceDN w:val="0"/>
        <w:adjustRightInd w:val="0"/>
        <w:spacing w:after="0" w:line="360" w:lineRule="auto"/>
        <w:rPr>
          <w:rFonts w:cs="AdvP403A40"/>
          <w:sz w:val="23"/>
          <w:szCs w:val="23"/>
        </w:rPr>
      </w:pP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  <w:r w:rsidRPr="00717389">
        <w:rPr>
          <w:rFonts w:asciiTheme="majorHAnsi" w:hAnsiTheme="majorHAnsi" w:cs="AdvP403A40"/>
          <w:b/>
          <w:sz w:val="23"/>
          <w:szCs w:val="23"/>
        </w:rPr>
        <w:lastRenderedPageBreak/>
        <w:t xml:space="preserve">Analytical Cell Staining and Flow </w:t>
      </w:r>
      <w:proofErr w:type="spellStart"/>
      <w:r w:rsidRPr="00717389">
        <w:rPr>
          <w:rFonts w:asciiTheme="majorHAnsi" w:hAnsiTheme="majorHAnsi" w:cs="AdvP403A40"/>
          <w:b/>
          <w:sz w:val="23"/>
          <w:szCs w:val="23"/>
        </w:rPr>
        <w:t>Cytometry</w:t>
      </w:r>
      <w:proofErr w:type="spellEnd"/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cs="AdvP49811"/>
          <w:sz w:val="23"/>
          <w:szCs w:val="23"/>
        </w:rPr>
      </w:pPr>
      <w:r w:rsidRPr="00717389">
        <w:rPr>
          <w:rFonts w:cs="AdvP49811"/>
          <w:sz w:val="23"/>
          <w:szCs w:val="23"/>
        </w:rPr>
        <w:t>Single cell suspensions were prepared and depleted of red blood cells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(RBC) by treatment with ACK </w:t>
      </w:r>
      <w:proofErr w:type="spellStart"/>
      <w:r w:rsidRPr="00717389">
        <w:rPr>
          <w:rFonts w:cs="AdvP49811"/>
          <w:sz w:val="23"/>
          <w:szCs w:val="23"/>
        </w:rPr>
        <w:t>lysis</w:t>
      </w:r>
      <w:proofErr w:type="spellEnd"/>
      <w:r w:rsidRPr="00717389">
        <w:rPr>
          <w:rFonts w:cs="AdvP49811"/>
          <w:sz w:val="23"/>
          <w:szCs w:val="23"/>
        </w:rPr>
        <w:t xml:space="preserve"> buffer (0.15</w:t>
      </w:r>
      <w:r w:rsidR="003A5D01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M NH</w:t>
      </w:r>
      <w:r w:rsidRPr="00717389">
        <w:rPr>
          <w:rFonts w:cs="AdvP49811"/>
          <w:sz w:val="23"/>
          <w:szCs w:val="23"/>
          <w:vertAlign w:val="subscript"/>
        </w:rPr>
        <w:t>4</w:t>
      </w:r>
      <w:r w:rsidRPr="00717389">
        <w:rPr>
          <w:rFonts w:cs="AdvP49811"/>
          <w:sz w:val="23"/>
          <w:szCs w:val="23"/>
        </w:rPr>
        <w:t>Cl/</w:t>
      </w:r>
      <w:r w:rsidR="003A5D01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1 </w:t>
      </w:r>
      <w:proofErr w:type="spellStart"/>
      <w:r w:rsidRPr="00717389">
        <w:rPr>
          <w:rFonts w:cs="AdvP49811"/>
          <w:sz w:val="23"/>
          <w:szCs w:val="23"/>
        </w:rPr>
        <w:t>mM</w:t>
      </w:r>
      <w:proofErr w:type="spellEnd"/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KHCO</w:t>
      </w:r>
      <w:r w:rsidRPr="00717389">
        <w:rPr>
          <w:rFonts w:cs="AdvP49811"/>
          <w:sz w:val="23"/>
          <w:szCs w:val="23"/>
          <w:vertAlign w:val="subscript"/>
        </w:rPr>
        <w:t>3</w:t>
      </w:r>
      <w:r w:rsidRPr="00717389">
        <w:rPr>
          <w:rFonts w:cs="AdvP49811"/>
          <w:sz w:val="23"/>
          <w:szCs w:val="23"/>
        </w:rPr>
        <w:t>/</w:t>
      </w:r>
      <w:r w:rsidR="003A5D01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0.1 </w:t>
      </w:r>
      <w:proofErr w:type="spellStart"/>
      <w:r w:rsidRPr="00717389">
        <w:rPr>
          <w:rFonts w:cs="AdvP49811"/>
          <w:sz w:val="23"/>
          <w:szCs w:val="23"/>
        </w:rPr>
        <w:t>mM</w:t>
      </w:r>
      <w:proofErr w:type="spellEnd"/>
      <w:r w:rsidRPr="00717389">
        <w:rPr>
          <w:rFonts w:cs="AdvP49811"/>
          <w:sz w:val="23"/>
          <w:szCs w:val="23"/>
        </w:rPr>
        <w:t xml:space="preserve"> Na</w:t>
      </w:r>
      <w:r w:rsidRPr="00717389">
        <w:rPr>
          <w:rFonts w:cs="AdvP49811"/>
          <w:sz w:val="23"/>
          <w:szCs w:val="23"/>
          <w:vertAlign w:val="subscript"/>
        </w:rPr>
        <w:t>2</w:t>
      </w:r>
      <w:r w:rsidRPr="00717389">
        <w:rPr>
          <w:rFonts w:cs="AdvP49811"/>
          <w:sz w:val="23"/>
          <w:szCs w:val="23"/>
        </w:rPr>
        <w:t>EDTA in H</w:t>
      </w:r>
      <w:r w:rsidRPr="00717389">
        <w:rPr>
          <w:rFonts w:cs="AdvP49811"/>
          <w:sz w:val="23"/>
          <w:szCs w:val="23"/>
          <w:vertAlign w:val="subscript"/>
        </w:rPr>
        <w:t>2</w:t>
      </w:r>
      <w:r w:rsidRPr="00717389">
        <w:rPr>
          <w:rFonts w:cs="AdvP49811"/>
          <w:sz w:val="23"/>
          <w:szCs w:val="23"/>
        </w:rPr>
        <w:t>O, pH 7.2). Cells were then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stained with Live/Dead Fixable Aqua Dead Cell Stain Kit (Life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Technologies, Carlsbad, CA). After vital staining, cells were pre</w:t>
      </w:r>
      <w:r w:rsidR="003A5D01" w:rsidRPr="00717389">
        <w:rPr>
          <w:rFonts w:cs="AdvP49811"/>
          <w:sz w:val="23"/>
          <w:szCs w:val="23"/>
        </w:rPr>
        <w:t>-</w:t>
      </w:r>
      <w:r w:rsidRPr="00717389">
        <w:rPr>
          <w:rFonts w:cs="AdvP49811"/>
          <w:sz w:val="23"/>
          <w:szCs w:val="23"/>
        </w:rPr>
        <w:t>incubated</w:t>
      </w:r>
      <w:r w:rsidR="00524AC2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with Fc Block (BD Biosciences) before the addition of surface staining antibodies. After incubation with </w:t>
      </w:r>
      <w:proofErr w:type="spellStart"/>
      <w:r w:rsidRPr="00717389">
        <w:rPr>
          <w:rFonts w:cs="AdvP49811"/>
          <w:sz w:val="23"/>
          <w:szCs w:val="23"/>
        </w:rPr>
        <w:t>mAbs</w:t>
      </w:r>
      <w:proofErr w:type="spellEnd"/>
      <w:r w:rsidRPr="00717389">
        <w:rPr>
          <w:rFonts w:cs="AdvP49811"/>
          <w:sz w:val="23"/>
          <w:szCs w:val="23"/>
        </w:rPr>
        <w:t xml:space="preserve"> at 4</w:t>
      </w:r>
      <w:r w:rsidR="003A5D01" w:rsidRPr="00717389">
        <w:rPr>
          <w:rFonts w:cs="AdvP44E6F4"/>
          <w:sz w:val="23"/>
          <w:szCs w:val="23"/>
          <w:vertAlign w:val="superscript"/>
        </w:rPr>
        <w:t>o</w:t>
      </w:r>
      <w:r w:rsidRPr="00717389">
        <w:rPr>
          <w:rFonts w:cs="AdvP49811"/>
          <w:sz w:val="23"/>
          <w:szCs w:val="23"/>
        </w:rPr>
        <w:t xml:space="preserve">C for 30 minutes, cells were washed and incubated with PE-streptavidin to detect anti- CXCR5 </w:t>
      </w:r>
      <w:proofErr w:type="spellStart"/>
      <w:r w:rsidRPr="00717389">
        <w:rPr>
          <w:rFonts w:cs="AdvP49811"/>
          <w:sz w:val="23"/>
          <w:szCs w:val="23"/>
        </w:rPr>
        <w:t>mAb</w:t>
      </w:r>
      <w:proofErr w:type="spellEnd"/>
      <w:r w:rsidRPr="00717389">
        <w:rPr>
          <w:rFonts w:cs="AdvP49811"/>
          <w:sz w:val="23"/>
          <w:szCs w:val="23"/>
        </w:rPr>
        <w:t xml:space="preserve"> binding. Prior to BCL6 staining, cells were fixed and </w:t>
      </w:r>
      <w:proofErr w:type="spellStart"/>
      <w:r w:rsidRPr="00717389">
        <w:rPr>
          <w:rFonts w:cs="AdvP49811"/>
          <w:sz w:val="23"/>
          <w:szCs w:val="23"/>
        </w:rPr>
        <w:t>permeabilized</w:t>
      </w:r>
      <w:proofErr w:type="spellEnd"/>
      <w:r w:rsidRPr="00717389">
        <w:rPr>
          <w:rFonts w:cs="AdvP49811"/>
          <w:sz w:val="23"/>
          <w:szCs w:val="23"/>
        </w:rPr>
        <w:t xml:space="preserve"> with BD </w:t>
      </w:r>
      <w:proofErr w:type="spellStart"/>
      <w:r w:rsidRPr="00717389">
        <w:rPr>
          <w:rFonts w:cs="AdvP49811"/>
          <w:sz w:val="23"/>
          <w:szCs w:val="23"/>
        </w:rPr>
        <w:t>Pharmingen</w:t>
      </w:r>
      <w:proofErr w:type="spellEnd"/>
      <w:r w:rsidRPr="00717389">
        <w:rPr>
          <w:rFonts w:cs="AdvP49811"/>
          <w:sz w:val="23"/>
          <w:szCs w:val="23"/>
        </w:rPr>
        <w:t xml:space="preserve"> Transcription Factor Buffer Set (BD Biosciences). Data were collected on a </w:t>
      </w:r>
      <w:proofErr w:type="spellStart"/>
      <w:r w:rsidRPr="00717389">
        <w:rPr>
          <w:rFonts w:cs="AdvP49811"/>
          <w:sz w:val="23"/>
          <w:szCs w:val="23"/>
        </w:rPr>
        <w:t>FACSCanto</w:t>
      </w:r>
      <w:proofErr w:type="spellEnd"/>
      <w:r w:rsidRPr="00717389">
        <w:rPr>
          <w:rFonts w:cs="AdvP49811"/>
          <w:sz w:val="23"/>
          <w:szCs w:val="23"/>
        </w:rPr>
        <w:t xml:space="preserve"> flow cytometer (BD Biosciences), and analyzed with </w:t>
      </w:r>
      <w:proofErr w:type="spellStart"/>
      <w:r w:rsidRPr="00717389">
        <w:rPr>
          <w:rFonts w:cs="AdvP49811"/>
          <w:sz w:val="23"/>
          <w:szCs w:val="23"/>
        </w:rPr>
        <w:t>FlowJo</w:t>
      </w:r>
      <w:proofErr w:type="spellEnd"/>
      <w:r w:rsidRPr="00717389">
        <w:rPr>
          <w:rFonts w:cs="AdvP49811"/>
          <w:sz w:val="23"/>
          <w:szCs w:val="23"/>
        </w:rPr>
        <w:t xml:space="preserve"> 8.6 software (Tree Star, Inc., Ashland, OR). All events shown in Figure 1 were pre-gated on B220-CD4</w:t>
      </w:r>
      <w:r w:rsidRPr="00717389">
        <w:rPr>
          <w:rFonts w:cs="AdvP697C"/>
          <w:sz w:val="23"/>
          <w:szCs w:val="23"/>
        </w:rPr>
        <w:t>+</w:t>
      </w:r>
      <w:r w:rsidRPr="00717389">
        <w:rPr>
          <w:rFonts w:cs="AdvP49811"/>
          <w:sz w:val="23"/>
          <w:szCs w:val="23"/>
        </w:rPr>
        <w:t>Live/Dead negative (live), with doublets excluded.</w:t>
      </w:r>
    </w:p>
    <w:p w:rsidR="00524AC2" w:rsidRPr="00717389" w:rsidRDefault="00524AC2" w:rsidP="00717389">
      <w:pPr>
        <w:autoSpaceDE w:val="0"/>
        <w:autoSpaceDN w:val="0"/>
        <w:adjustRightInd w:val="0"/>
        <w:spacing w:after="0" w:line="360" w:lineRule="auto"/>
        <w:rPr>
          <w:rFonts w:cs="AdvP403A40"/>
          <w:sz w:val="23"/>
          <w:szCs w:val="23"/>
        </w:rPr>
      </w:pP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  <w:r w:rsidRPr="00717389">
        <w:rPr>
          <w:rFonts w:asciiTheme="majorHAnsi" w:hAnsiTheme="majorHAnsi" w:cs="AdvP403A40"/>
          <w:b/>
          <w:sz w:val="23"/>
          <w:szCs w:val="23"/>
        </w:rPr>
        <w:t>Preparative Staining and Cell Purification</w:t>
      </w: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cs="AdvP49811"/>
          <w:sz w:val="23"/>
          <w:szCs w:val="23"/>
        </w:rPr>
      </w:pPr>
      <w:r w:rsidRPr="00717389">
        <w:rPr>
          <w:rFonts w:cs="AdvP49811"/>
          <w:sz w:val="23"/>
          <w:szCs w:val="23"/>
        </w:rPr>
        <w:t xml:space="preserve">Single cell suspensions from the cervical lymph nodes of immunized mice were prepared and depleted of RBC by treatment with ACK </w:t>
      </w:r>
      <w:proofErr w:type="spellStart"/>
      <w:r w:rsidRPr="00717389">
        <w:rPr>
          <w:rFonts w:cs="AdvP49811"/>
          <w:sz w:val="23"/>
          <w:szCs w:val="23"/>
        </w:rPr>
        <w:t>lysis</w:t>
      </w:r>
      <w:proofErr w:type="spellEnd"/>
      <w:r w:rsidRPr="00717389">
        <w:rPr>
          <w:rFonts w:cs="AdvP49811"/>
          <w:sz w:val="23"/>
          <w:szCs w:val="23"/>
        </w:rPr>
        <w:t xml:space="preserve"> buffer (0.15</w:t>
      </w:r>
      <w:r w:rsidR="003A5D01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M NH</w:t>
      </w:r>
      <w:r w:rsidRPr="00717389">
        <w:rPr>
          <w:rFonts w:cs="AdvP49811"/>
          <w:sz w:val="23"/>
          <w:szCs w:val="23"/>
          <w:vertAlign w:val="subscript"/>
        </w:rPr>
        <w:t>4</w:t>
      </w:r>
      <w:r w:rsidRPr="00717389">
        <w:rPr>
          <w:rFonts w:cs="AdvP49811"/>
          <w:sz w:val="23"/>
          <w:szCs w:val="23"/>
        </w:rPr>
        <w:t>Cl/</w:t>
      </w:r>
      <w:r w:rsidR="003A5D01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1 </w:t>
      </w:r>
      <w:proofErr w:type="spellStart"/>
      <w:r w:rsidRPr="00717389">
        <w:rPr>
          <w:rFonts w:cs="AdvP49811"/>
          <w:sz w:val="23"/>
          <w:szCs w:val="23"/>
        </w:rPr>
        <w:t>mM</w:t>
      </w:r>
      <w:proofErr w:type="spellEnd"/>
      <w:r w:rsidRPr="00717389">
        <w:rPr>
          <w:rFonts w:cs="AdvP49811"/>
          <w:sz w:val="23"/>
          <w:szCs w:val="23"/>
        </w:rPr>
        <w:t xml:space="preserve"> KHCO</w:t>
      </w:r>
      <w:r w:rsidRPr="00717389">
        <w:rPr>
          <w:rFonts w:cs="AdvP49811"/>
          <w:sz w:val="23"/>
          <w:szCs w:val="23"/>
          <w:vertAlign w:val="subscript"/>
        </w:rPr>
        <w:t>3</w:t>
      </w:r>
      <w:r w:rsidRPr="00717389">
        <w:rPr>
          <w:rFonts w:cs="AdvP49811"/>
          <w:sz w:val="23"/>
          <w:szCs w:val="23"/>
        </w:rPr>
        <w:t>/</w:t>
      </w:r>
      <w:r w:rsidR="003A5D01" w:rsidRPr="00717389">
        <w:rPr>
          <w:rFonts w:cs="AdvP49811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0.1 </w:t>
      </w:r>
      <w:proofErr w:type="spellStart"/>
      <w:r w:rsidRPr="00717389">
        <w:rPr>
          <w:rFonts w:cs="AdvP49811"/>
          <w:sz w:val="23"/>
          <w:szCs w:val="23"/>
        </w:rPr>
        <w:t>mM</w:t>
      </w:r>
      <w:proofErr w:type="spellEnd"/>
      <w:r w:rsidRPr="00717389">
        <w:rPr>
          <w:rFonts w:cs="AdvP49811"/>
          <w:sz w:val="23"/>
          <w:szCs w:val="23"/>
        </w:rPr>
        <w:t xml:space="preserve"> Na</w:t>
      </w:r>
      <w:r w:rsidRPr="00717389">
        <w:rPr>
          <w:rFonts w:cs="AdvP49811"/>
          <w:sz w:val="23"/>
          <w:szCs w:val="23"/>
          <w:vertAlign w:val="subscript"/>
        </w:rPr>
        <w:t>2</w:t>
      </w:r>
      <w:r w:rsidRPr="00717389">
        <w:rPr>
          <w:rFonts w:cs="AdvP49811"/>
          <w:sz w:val="23"/>
          <w:szCs w:val="23"/>
        </w:rPr>
        <w:t>EDTA in H</w:t>
      </w:r>
      <w:r w:rsidRPr="00717389">
        <w:rPr>
          <w:rFonts w:cs="AdvP49811"/>
          <w:sz w:val="23"/>
          <w:szCs w:val="23"/>
          <w:vertAlign w:val="subscript"/>
        </w:rPr>
        <w:t>2</w:t>
      </w:r>
      <w:r w:rsidRPr="00717389">
        <w:rPr>
          <w:rFonts w:cs="AdvP49811"/>
          <w:sz w:val="23"/>
          <w:szCs w:val="23"/>
        </w:rPr>
        <w:t xml:space="preserve">O, pH 7.2). Cell suspensions were then depleted of non-CD4 T cells by use of negative paramagnetic bead selection (CD4 T Cell Isolation Kit II, </w:t>
      </w:r>
      <w:proofErr w:type="spellStart"/>
      <w:r w:rsidRPr="00717389">
        <w:rPr>
          <w:rFonts w:cs="AdvP49811"/>
          <w:sz w:val="23"/>
          <w:szCs w:val="23"/>
        </w:rPr>
        <w:t>Miltenyi</w:t>
      </w:r>
      <w:proofErr w:type="spellEnd"/>
      <w:r w:rsidRPr="00717389">
        <w:rPr>
          <w:rFonts w:cs="AdvP49811"/>
          <w:sz w:val="23"/>
          <w:szCs w:val="23"/>
        </w:rPr>
        <w:t xml:space="preserve"> </w:t>
      </w:r>
      <w:proofErr w:type="spellStart"/>
      <w:r w:rsidRPr="00717389">
        <w:rPr>
          <w:rFonts w:cs="AdvP49811"/>
          <w:sz w:val="23"/>
          <w:szCs w:val="23"/>
        </w:rPr>
        <w:t>Biotec</w:t>
      </w:r>
      <w:proofErr w:type="spellEnd"/>
      <w:r w:rsidRPr="00717389">
        <w:rPr>
          <w:rFonts w:cs="AdvP49811"/>
          <w:sz w:val="23"/>
          <w:szCs w:val="23"/>
        </w:rPr>
        <w:t xml:space="preserve">, </w:t>
      </w:r>
      <w:proofErr w:type="gramStart"/>
      <w:r w:rsidRPr="00717389">
        <w:rPr>
          <w:rFonts w:cs="AdvP49811"/>
          <w:sz w:val="23"/>
          <w:szCs w:val="23"/>
        </w:rPr>
        <w:t>Auburn</w:t>
      </w:r>
      <w:proofErr w:type="gramEnd"/>
      <w:r w:rsidRPr="00717389">
        <w:rPr>
          <w:rFonts w:cs="AdvP49811"/>
          <w:sz w:val="23"/>
          <w:szCs w:val="23"/>
        </w:rPr>
        <w:t xml:space="preserve">, CA). For </w:t>
      </w:r>
      <w:proofErr w:type="spellStart"/>
      <w:r w:rsidRPr="00717389">
        <w:rPr>
          <w:rFonts w:cs="AdvP49811"/>
          <w:sz w:val="23"/>
          <w:szCs w:val="23"/>
        </w:rPr>
        <w:t>Treg</w:t>
      </w:r>
      <w:proofErr w:type="spellEnd"/>
      <w:r w:rsidRPr="00717389">
        <w:rPr>
          <w:rFonts w:cs="AdvP49811"/>
          <w:sz w:val="23"/>
          <w:szCs w:val="23"/>
        </w:rPr>
        <w:t xml:space="preserve"> depletion, CD25</w:t>
      </w:r>
      <w:r w:rsidRPr="00717389">
        <w:rPr>
          <w:rFonts w:cs="AdvP697C"/>
          <w:sz w:val="23"/>
          <w:szCs w:val="23"/>
        </w:rPr>
        <w:t xml:space="preserve">+ </w:t>
      </w:r>
      <w:r w:rsidRPr="00717389">
        <w:rPr>
          <w:rFonts w:cs="AdvP49811"/>
          <w:sz w:val="23"/>
          <w:szCs w:val="23"/>
        </w:rPr>
        <w:t>cells were depleted through the use of negative paramagnetic bead selection (CD4</w:t>
      </w:r>
      <w:r w:rsidRPr="00717389">
        <w:rPr>
          <w:rFonts w:cs="AdvP697C"/>
          <w:sz w:val="23"/>
          <w:szCs w:val="23"/>
        </w:rPr>
        <w:t>+</w:t>
      </w:r>
      <w:r w:rsidRPr="00717389">
        <w:rPr>
          <w:rFonts w:cs="AdvP49811"/>
          <w:sz w:val="23"/>
          <w:szCs w:val="23"/>
        </w:rPr>
        <w:t>CD25</w:t>
      </w:r>
      <w:r w:rsidRPr="00717389">
        <w:rPr>
          <w:rFonts w:cs="AdvP697C"/>
          <w:sz w:val="23"/>
          <w:szCs w:val="23"/>
        </w:rPr>
        <w:t xml:space="preserve">+ </w:t>
      </w:r>
      <w:r w:rsidRPr="00717389">
        <w:rPr>
          <w:rFonts w:cs="AdvP49811"/>
          <w:sz w:val="23"/>
          <w:szCs w:val="23"/>
        </w:rPr>
        <w:t xml:space="preserve">Regulatory T cell Isolation Kit, </w:t>
      </w:r>
      <w:proofErr w:type="spellStart"/>
      <w:r w:rsidRPr="00717389">
        <w:rPr>
          <w:rFonts w:cs="AdvP49811"/>
          <w:sz w:val="23"/>
          <w:szCs w:val="23"/>
        </w:rPr>
        <w:t>Miltenyi</w:t>
      </w:r>
      <w:proofErr w:type="spellEnd"/>
      <w:r w:rsidRPr="00717389">
        <w:rPr>
          <w:rFonts w:cs="AdvP49811"/>
          <w:sz w:val="23"/>
          <w:szCs w:val="23"/>
        </w:rPr>
        <w:t xml:space="preserve"> </w:t>
      </w:r>
      <w:proofErr w:type="spellStart"/>
      <w:r w:rsidRPr="00717389">
        <w:rPr>
          <w:rFonts w:cs="AdvP49811"/>
          <w:sz w:val="23"/>
          <w:szCs w:val="23"/>
        </w:rPr>
        <w:t>Biotec</w:t>
      </w:r>
      <w:proofErr w:type="spellEnd"/>
      <w:r w:rsidRPr="00717389">
        <w:rPr>
          <w:rFonts w:cs="AdvP49811"/>
          <w:sz w:val="23"/>
          <w:szCs w:val="23"/>
        </w:rPr>
        <w:t xml:space="preserve">). For </w:t>
      </w:r>
      <w:proofErr w:type="spellStart"/>
      <w:r w:rsidRPr="00717389">
        <w:rPr>
          <w:rFonts w:cs="AdvP49811"/>
          <w:sz w:val="23"/>
          <w:szCs w:val="23"/>
        </w:rPr>
        <w:t>Tfh</w:t>
      </w:r>
      <w:proofErr w:type="spellEnd"/>
      <w:r w:rsidRPr="00717389">
        <w:rPr>
          <w:rFonts w:cs="AdvP49811"/>
          <w:sz w:val="23"/>
          <w:szCs w:val="23"/>
        </w:rPr>
        <w:t xml:space="preserve"> sorting, CD4-enriched cells were incubated with Fc Block (BD Biosciences) before the addition of anti-CD4,</w:t>
      </w:r>
      <w:r w:rsidR="003A5D01" w:rsidRPr="00717389">
        <w:rPr>
          <w:rFonts w:cs="AdvP49811"/>
          <w:sz w:val="23"/>
          <w:szCs w:val="23"/>
        </w:rPr>
        <w:t xml:space="preserve">    </w:t>
      </w:r>
      <w:r w:rsidRPr="00717389">
        <w:rPr>
          <w:rFonts w:cs="AdvP49811"/>
          <w:sz w:val="23"/>
          <w:szCs w:val="23"/>
        </w:rPr>
        <w:t xml:space="preserve"> -CD44, -CXCR5, and -PD1 </w:t>
      </w:r>
      <w:proofErr w:type="spellStart"/>
      <w:r w:rsidRPr="00717389">
        <w:rPr>
          <w:rFonts w:cs="AdvP49811"/>
          <w:sz w:val="23"/>
          <w:szCs w:val="23"/>
        </w:rPr>
        <w:t>mAbs</w:t>
      </w:r>
      <w:proofErr w:type="spellEnd"/>
      <w:r w:rsidRPr="00717389">
        <w:rPr>
          <w:rFonts w:cs="AdvP49811"/>
          <w:sz w:val="23"/>
          <w:szCs w:val="23"/>
        </w:rPr>
        <w:t>. After surface staining (4</w:t>
      </w:r>
      <w:r w:rsidR="003A5D01" w:rsidRPr="00717389">
        <w:rPr>
          <w:rFonts w:cs="AdvP44E6F4"/>
          <w:sz w:val="23"/>
          <w:szCs w:val="23"/>
          <w:vertAlign w:val="superscript"/>
        </w:rPr>
        <w:t>o</w:t>
      </w:r>
      <w:r w:rsidRPr="00717389">
        <w:rPr>
          <w:rFonts w:cs="AdvP49811"/>
          <w:sz w:val="23"/>
          <w:szCs w:val="23"/>
        </w:rPr>
        <w:t xml:space="preserve">C for 30 minutes), cells were washed and incubated with streptavidin-PE to detect anti-CXCR5 </w:t>
      </w:r>
      <w:proofErr w:type="spellStart"/>
      <w:r w:rsidRPr="00717389">
        <w:rPr>
          <w:rFonts w:cs="AdvP49811"/>
          <w:sz w:val="23"/>
          <w:szCs w:val="23"/>
        </w:rPr>
        <w:t>mA</w:t>
      </w:r>
      <w:r w:rsidR="003A5D01" w:rsidRPr="00717389">
        <w:rPr>
          <w:rFonts w:cs="AdvP49811"/>
          <w:sz w:val="23"/>
          <w:szCs w:val="23"/>
        </w:rPr>
        <w:t>b</w:t>
      </w:r>
      <w:proofErr w:type="spellEnd"/>
      <w:r w:rsidR="003A5D01" w:rsidRPr="00717389">
        <w:rPr>
          <w:rFonts w:cs="AdvP49811"/>
          <w:sz w:val="23"/>
          <w:szCs w:val="23"/>
        </w:rPr>
        <w:t xml:space="preserve"> staining. Cell sorting was per</w:t>
      </w:r>
      <w:r w:rsidRPr="00717389">
        <w:rPr>
          <w:rFonts w:cs="AdvP49811"/>
          <w:sz w:val="23"/>
          <w:szCs w:val="23"/>
        </w:rPr>
        <w:t xml:space="preserve">formed using a </w:t>
      </w:r>
      <w:proofErr w:type="spellStart"/>
      <w:r w:rsidRPr="00717389">
        <w:rPr>
          <w:rFonts w:cs="AdvP49811"/>
          <w:sz w:val="23"/>
          <w:szCs w:val="23"/>
        </w:rPr>
        <w:t>FACSAria</w:t>
      </w:r>
      <w:proofErr w:type="spellEnd"/>
      <w:r w:rsidRPr="00717389">
        <w:rPr>
          <w:rFonts w:cs="AdvP49811"/>
          <w:sz w:val="23"/>
          <w:szCs w:val="23"/>
        </w:rPr>
        <w:t xml:space="preserve"> (BD Biosciences), to isolate CD4</w:t>
      </w:r>
      <w:r w:rsidRPr="00717389">
        <w:rPr>
          <w:rFonts w:cs="AdvP697C"/>
          <w:sz w:val="23"/>
          <w:szCs w:val="23"/>
          <w:vertAlign w:val="superscript"/>
        </w:rPr>
        <w:t>+</w:t>
      </w:r>
      <w:r w:rsidRPr="00717389">
        <w:rPr>
          <w:rFonts w:cs="AdvP49811"/>
          <w:sz w:val="23"/>
          <w:szCs w:val="23"/>
        </w:rPr>
        <w:t>CD44</w:t>
      </w:r>
      <w:r w:rsidRPr="00717389">
        <w:rPr>
          <w:rFonts w:cs="AdvP49811"/>
          <w:sz w:val="23"/>
          <w:szCs w:val="23"/>
          <w:vertAlign w:val="superscript"/>
        </w:rPr>
        <w:t>high</w:t>
      </w:r>
      <w:r w:rsidRPr="00717389">
        <w:rPr>
          <w:rFonts w:cs="AdvP49811"/>
          <w:sz w:val="23"/>
          <w:szCs w:val="23"/>
        </w:rPr>
        <w:t>CXCR5</w:t>
      </w:r>
      <w:r w:rsidRPr="00717389">
        <w:rPr>
          <w:rFonts w:cs="AdvP49811"/>
          <w:sz w:val="23"/>
          <w:szCs w:val="23"/>
          <w:vertAlign w:val="superscript"/>
        </w:rPr>
        <w:t>high</w:t>
      </w:r>
      <w:r w:rsidRPr="00717389">
        <w:rPr>
          <w:rFonts w:cs="AdvP49811"/>
          <w:sz w:val="23"/>
          <w:szCs w:val="23"/>
        </w:rPr>
        <w:t>PD1</w:t>
      </w:r>
      <w:r w:rsidRPr="00717389">
        <w:rPr>
          <w:rFonts w:cs="AdvP49811"/>
          <w:sz w:val="23"/>
          <w:szCs w:val="23"/>
          <w:vertAlign w:val="superscript"/>
        </w:rPr>
        <w:t>high</w:t>
      </w:r>
      <w:r w:rsidRPr="00717389">
        <w:rPr>
          <w:rFonts w:cs="AdvP49811"/>
          <w:sz w:val="23"/>
          <w:szCs w:val="23"/>
        </w:rPr>
        <w:t xml:space="preserve"> </w:t>
      </w:r>
      <w:proofErr w:type="spellStart"/>
      <w:r w:rsidRPr="00717389">
        <w:rPr>
          <w:rFonts w:cs="AdvP49811"/>
          <w:sz w:val="23"/>
          <w:szCs w:val="23"/>
        </w:rPr>
        <w:t>Tfh</w:t>
      </w:r>
      <w:proofErr w:type="spellEnd"/>
      <w:r w:rsidRPr="00717389">
        <w:rPr>
          <w:rFonts w:cs="AdvP49811"/>
          <w:sz w:val="23"/>
          <w:szCs w:val="23"/>
        </w:rPr>
        <w:t xml:space="preserve"> cells and CD4</w:t>
      </w:r>
      <w:r w:rsidRPr="00717389">
        <w:rPr>
          <w:rFonts w:cs="AdvP697C"/>
          <w:sz w:val="23"/>
          <w:szCs w:val="23"/>
          <w:vertAlign w:val="superscript"/>
        </w:rPr>
        <w:t>+</w:t>
      </w:r>
      <w:r w:rsidRPr="00717389">
        <w:rPr>
          <w:rFonts w:cs="AdvP49811"/>
          <w:sz w:val="23"/>
          <w:szCs w:val="23"/>
        </w:rPr>
        <w:t>CD44</w:t>
      </w:r>
      <w:r w:rsidRPr="00717389">
        <w:rPr>
          <w:rFonts w:cs="AdvP49811"/>
          <w:sz w:val="23"/>
          <w:szCs w:val="23"/>
          <w:vertAlign w:val="superscript"/>
        </w:rPr>
        <w:t>high</w:t>
      </w:r>
      <w:r w:rsidRPr="00717389">
        <w:rPr>
          <w:rFonts w:cs="AdvP49811"/>
          <w:sz w:val="23"/>
          <w:szCs w:val="23"/>
        </w:rPr>
        <w:t xml:space="preserve"> cells that did not express high levels of CXCR5 or PD1 (non-</w:t>
      </w:r>
      <w:proofErr w:type="spellStart"/>
      <w:r w:rsidRPr="00717389">
        <w:rPr>
          <w:rFonts w:cs="AdvP49811"/>
          <w:sz w:val="23"/>
          <w:szCs w:val="23"/>
        </w:rPr>
        <w:t>Tfh</w:t>
      </w:r>
      <w:proofErr w:type="spellEnd"/>
      <w:r w:rsidRPr="00717389">
        <w:rPr>
          <w:rFonts w:cs="AdvP49811"/>
          <w:sz w:val="23"/>
          <w:szCs w:val="23"/>
        </w:rPr>
        <w:t xml:space="preserve"> cells). The purity of sorted populations was typically 90–95%. </w:t>
      </w:r>
      <w:proofErr w:type="spellStart"/>
      <w:r w:rsidR="00FE3D19" w:rsidRPr="00717389">
        <w:rPr>
          <w:rFonts w:cs="AdvP49811"/>
          <w:sz w:val="23"/>
          <w:szCs w:val="23"/>
        </w:rPr>
        <w:t>Splenocytes</w:t>
      </w:r>
      <w:proofErr w:type="spellEnd"/>
      <w:r w:rsidR="00FE3D19" w:rsidRPr="00717389">
        <w:rPr>
          <w:rFonts w:cs="AdvP49811"/>
          <w:sz w:val="23"/>
          <w:szCs w:val="23"/>
        </w:rPr>
        <w:t xml:space="preserve"> from nai</w:t>
      </w:r>
      <w:r w:rsidRPr="00717389">
        <w:rPr>
          <w:rFonts w:cs="AdvP49811"/>
          <w:sz w:val="23"/>
          <w:szCs w:val="23"/>
        </w:rPr>
        <w:t xml:space="preserve">ve mice were depleted of RBC by treatment with ACK </w:t>
      </w:r>
      <w:proofErr w:type="spellStart"/>
      <w:r w:rsidRPr="00717389">
        <w:rPr>
          <w:rFonts w:cs="AdvP49811"/>
          <w:sz w:val="23"/>
          <w:szCs w:val="23"/>
        </w:rPr>
        <w:t>lysis</w:t>
      </w:r>
      <w:proofErr w:type="spellEnd"/>
      <w:r w:rsidRPr="00717389">
        <w:rPr>
          <w:rFonts w:cs="AdvP49811"/>
          <w:sz w:val="23"/>
          <w:szCs w:val="23"/>
        </w:rPr>
        <w:t xml:space="preserve"> buffer and were used as a source of APC in ELISPOT assays. </w:t>
      </w:r>
    </w:p>
    <w:p w:rsidR="00FE3D19" w:rsidRPr="00717389" w:rsidRDefault="00FE3D19" w:rsidP="00717389">
      <w:pPr>
        <w:shd w:val="clear" w:color="auto" w:fill="FFFFFF"/>
        <w:spacing w:after="0" w:line="360" w:lineRule="auto"/>
        <w:textAlignment w:val="baseline"/>
        <w:outlineLvl w:val="2"/>
        <w:rPr>
          <w:rFonts w:ascii="Times New Roman" w:eastAsia="Times New Roman" w:hAnsi="Times New Roman" w:cs="Times New Roman"/>
          <w:color w:val="202020"/>
          <w:sz w:val="23"/>
          <w:szCs w:val="23"/>
        </w:rPr>
      </w:pPr>
    </w:p>
    <w:p w:rsidR="00FE3D19" w:rsidRPr="00717389" w:rsidRDefault="00FE3D19" w:rsidP="00717389">
      <w:pPr>
        <w:shd w:val="clear" w:color="auto" w:fill="FFFFFF"/>
        <w:spacing w:after="0" w:line="360" w:lineRule="auto"/>
        <w:textAlignment w:val="baseline"/>
        <w:outlineLvl w:val="2"/>
        <w:rPr>
          <w:rFonts w:asciiTheme="majorHAnsi" w:eastAsia="Times New Roman" w:hAnsiTheme="majorHAnsi" w:cs="Times New Roman"/>
          <w:b/>
          <w:sz w:val="23"/>
          <w:szCs w:val="23"/>
        </w:rPr>
      </w:pPr>
      <w:r w:rsidRPr="00FE3D19">
        <w:rPr>
          <w:rFonts w:asciiTheme="majorHAnsi" w:eastAsia="Times New Roman" w:hAnsiTheme="majorHAnsi" w:cs="Times New Roman"/>
          <w:b/>
          <w:sz w:val="23"/>
          <w:szCs w:val="23"/>
        </w:rPr>
        <w:t>Isola</w:t>
      </w:r>
      <w:r w:rsidR="00717389" w:rsidRPr="00717389">
        <w:rPr>
          <w:rFonts w:asciiTheme="majorHAnsi" w:eastAsia="Times New Roman" w:hAnsiTheme="majorHAnsi" w:cs="Times New Roman"/>
          <w:b/>
          <w:sz w:val="23"/>
          <w:szCs w:val="23"/>
        </w:rPr>
        <w:t>tion of</w:t>
      </w:r>
      <w:r w:rsidRPr="00717389">
        <w:rPr>
          <w:rFonts w:asciiTheme="majorHAnsi" w:eastAsia="Times New Roman" w:hAnsiTheme="majorHAnsi" w:cs="Times New Roman"/>
          <w:b/>
          <w:sz w:val="23"/>
          <w:szCs w:val="23"/>
        </w:rPr>
        <w:t xml:space="preserve"> Cells from Ear Dermis</w:t>
      </w:r>
    </w:p>
    <w:p w:rsidR="00FE3D19" w:rsidRPr="00FE3D19" w:rsidRDefault="00FE3D19" w:rsidP="00717389">
      <w:pPr>
        <w:shd w:val="clear" w:color="auto" w:fill="FFFFFF"/>
        <w:spacing w:after="0" w:line="360" w:lineRule="auto"/>
        <w:textAlignment w:val="baseline"/>
        <w:outlineLvl w:val="2"/>
        <w:rPr>
          <w:rFonts w:eastAsia="Times New Roman" w:cs="Times New Roman"/>
          <w:sz w:val="23"/>
          <w:szCs w:val="23"/>
        </w:rPr>
      </w:pPr>
      <w:r w:rsidRPr="00FE3D19">
        <w:rPr>
          <w:rFonts w:eastAsia="Times New Roman" w:cs="Arial"/>
          <w:sz w:val="23"/>
          <w:szCs w:val="23"/>
        </w:rPr>
        <w:t>The ear pinnae of 5 mice were removed, cut into pieces, and then digested with 1 mg/mL collagenase/</w:t>
      </w:r>
      <w:proofErr w:type="spellStart"/>
      <w:r w:rsidRPr="00FE3D19">
        <w:rPr>
          <w:rFonts w:eastAsia="Times New Roman" w:cs="Arial"/>
          <w:sz w:val="23"/>
          <w:szCs w:val="23"/>
        </w:rPr>
        <w:t>dispase</w:t>
      </w:r>
      <w:proofErr w:type="spellEnd"/>
      <w:r w:rsidRPr="00FE3D19">
        <w:rPr>
          <w:rFonts w:eastAsia="Times New Roman" w:cs="Arial"/>
          <w:sz w:val="23"/>
          <w:szCs w:val="23"/>
        </w:rPr>
        <w:t xml:space="preserve"> for 1 h at 37 °C. The tissue was mashed through a metal strainer, releasing a single cell suspension, which was washed 2 tim</w:t>
      </w:r>
      <w:r w:rsidRPr="00717389">
        <w:rPr>
          <w:rFonts w:eastAsia="Times New Roman" w:cs="Arial"/>
          <w:sz w:val="23"/>
          <w:szCs w:val="23"/>
        </w:rPr>
        <w:t xml:space="preserve">es with media. </w:t>
      </w:r>
    </w:p>
    <w:p w:rsidR="0041466C" w:rsidRPr="00717389" w:rsidRDefault="0041466C" w:rsidP="00717389">
      <w:pPr>
        <w:autoSpaceDE w:val="0"/>
        <w:autoSpaceDN w:val="0"/>
        <w:adjustRightInd w:val="0"/>
        <w:spacing w:after="0" w:line="360" w:lineRule="auto"/>
        <w:rPr>
          <w:rFonts w:cs="AdvP403A40"/>
          <w:sz w:val="23"/>
          <w:szCs w:val="23"/>
        </w:rPr>
      </w:pP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  <w:r w:rsidRPr="00717389">
        <w:rPr>
          <w:rFonts w:asciiTheme="majorHAnsi" w:hAnsiTheme="majorHAnsi" w:cs="AdvP403A40"/>
          <w:b/>
          <w:sz w:val="23"/>
          <w:szCs w:val="23"/>
        </w:rPr>
        <w:t>Cytokine-specific CD4 T cell ELISPOT Assay</w:t>
      </w: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cs="AdvP49811"/>
          <w:sz w:val="23"/>
          <w:szCs w:val="23"/>
        </w:rPr>
      </w:pPr>
      <w:r w:rsidRPr="00717389">
        <w:rPr>
          <w:rFonts w:cs="AdvP49811"/>
          <w:sz w:val="23"/>
          <w:szCs w:val="23"/>
        </w:rPr>
        <w:t xml:space="preserve">Cytokine-secreting T cells were quantified at 18 h (IL-2, IL-4, and </w:t>
      </w:r>
      <w:proofErr w:type="spellStart"/>
      <w:r w:rsidRPr="00717389">
        <w:rPr>
          <w:rFonts w:cs="AdvP49811"/>
          <w:sz w:val="23"/>
          <w:szCs w:val="23"/>
        </w:rPr>
        <w:t>IFN</w:t>
      </w:r>
      <w:r w:rsidR="0041466C" w:rsidRPr="00717389">
        <w:rPr>
          <w:rFonts w:cs="AdvP3EAA99"/>
          <w:sz w:val="23"/>
          <w:szCs w:val="23"/>
        </w:rPr>
        <w:t>g</w:t>
      </w:r>
      <w:proofErr w:type="spellEnd"/>
      <w:r w:rsidRPr="00717389">
        <w:rPr>
          <w:rFonts w:cs="AdvP49811"/>
          <w:sz w:val="23"/>
          <w:szCs w:val="23"/>
        </w:rPr>
        <w:t>) or at 40 h (IL-21) with cytokine-specific ELISPOT assa</w:t>
      </w:r>
      <w:r w:rsidR="0041466C" w:rsidRPr="00717389">
        <w:rPr>
          <w:rFonts w:cs="AdvP49811"/>
          <w:sz w:val="23"/>
          <w:szCs w:val="23"/>
        </w:rPr>
        <w:t>y</w:t>
      </w:r>
      <w:r w:rsidRPr="00717389">
        <w:rPr>
          <w:rFonts w:cs="AdvP49811"/>
          <w:sz w:val="23"/>
          <w:szCs w:val="23"/>
        </w:rPr>
        <w:t xml:space="preserve">. In all cases 10 </w:t>
      </w:r>
      <w:proofErr w:type="spellStart"/>
      <w:r w:rsidRPr="00717389">
        <w:rPr>
          <w:rFonts w:cs="AdvP697C"/>
          <w:sz w:val="23"/>
          <w:szCs w:val="23"/>
        </w:rPr>
        <w:t>m</w:t>
      </w:r>
      <w:r w:rsidRPr="00717389">
        <w:rPr>
          <w:rFonts w:cs="AdvP49811"/>
          <w:sz w:val="23"/>
          <w:szCs w:val="23"/>
        </w:rPr>
        <w:t>M</w:t>
      </w:r>
      <w:proofErr w:type="spellEnd"/>
      <w:r w:rsidRPr="00717389">
        <w:rPr>
          <w:rFonts w:cs="AdvP49811"/>
          <w:sz w:val="23"/>
          <w:szCs w:val="23"/>
        </w:rPr>
        <w:t xml:space="preserve"> of peptide in the presence of syngeneic APC were used to stimulate T cells, which were added at densities that allowed readable spot counts in each well. Cytokine-specific spots were enumerated with an </w:t>
      </w:r>
      <w:proofErr w:type="spellStart"/>
      <w:r w:rsidRPr="00717389">
        <w:rPr>
          <w:rFonts w:cs="AdvP49811"/>
          <w:sz w:val="23"/>
          <w:szCs w:val="23"/>
        </w:rPr>
        <w:t>Immunospot</w:t>
      </w:r>
      <w:proofErr w:type="spellEnd"/>
      <w:r w:rsidRPr="00717389">
        <w:rPr>
          <w:rFonts w:cs="AdvP49811"/>
          <w:sz w:val="23"/>
          <w:szCs w:val="23"/>
        </w:rPr>
        <w:t xml:space="preserve"> Reader Series 2A (</w:t>
      </w:r>
      <w:proofErr w:type="spellStart"/>
      <w:r w:rsidRPr="00717389">
        <w:rPr>
          <w:rFonts w:cs="AdvP49811"/>
          <w:sz w:val="23"/>
          <w:szCs w:val="23"/>
        </w:rPr>
        <w:t>Immunospot</w:t>
      </w:r>
      <w:proofErr w:type="spellEnd"/>
      <w:r w:rsidRPr="00717389">
        <w:rPr>
          <w:rFonts w:cs="AdvP49811"/>
          <w:sz w:val="23"/>
          <w:szCs w:val="23"/>
        </w:rPr>
        <w:t xml:space="preserve"> Software V.3.2, CTL, </w:t>
      </w:r>
      <w:proofErr w:type="gramStart"/>
      <w:r w:rsidRPr="00717389">
        <w:rPr>
          <w:rFonts w:cs="AdvP49811"/>
          <w:sz w:val="23"/>
          <w:szCs w:val="23"/>
        </w:rPr>
        <w:t>Shaker</w:t>
      </w:r>
      <w:proofErr w:type="gramEnd"/>
      <w:r w:rsidRPr="00717389">
        <w:rPr>
          <w:rFonts w:cs="AdvP49811"/>
          <w:sz w:val="23"/>
          <w:szCs w:val="23"/>
        </w:rPr>
        <w:t xml:space="preserve"> Heights, OH). To determine the frequency of peptide-specific spots, spot counts from background wells (spots measured in the absence of peptide) were subtracted from wells with peptide and normalized to peptide-specific spots per 1,000,000 input CD4 T cells. In all cases, the number of peptide-specific cells was at least 2-fold over background. The frequencies of peptide-specific spots were summed to determine total cytokine-specific spots. The fractional response of each peptide was determined by calculating the percent of the total peptide-specific spots represented by each peptide epitope.</w:t>
      </w:r>
    </w:p>
    <w:p w:rsidR="00524AC2" w:rsidRPr="00717389" w:rsidRDefault="00524AC2" w:rsidP="00717389">
      <w:pPr>
        <w:autoSpaceDE w:val="0"/>
        <w:autoSpaceDN w:val="0"/>
        <w:adjustRightInd w:val="0"/>
        <w:spacing w:after="0" w:line="360" w:lineRule="auto"/>
        <w:rPr>
          <w:rFonts w:cs="AdvP403A40"/>
          <w:sz w:val="23"/>
          <w:szCs w:val="23"/>
        </w:rPr>
      </w:pP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="AdvP403A40"/>
          <w:b/>
          <w:sz w:val="23"/>
          <w:szCs w:val="23"/>
        </w:rPr>
      </w:pPr>
      <w:r w:rsidRPr="00717389">
        <w:rPr>
          <w:rFonts w:asciiTheme="majorHAnsi" w:hAnsiTheme="majorHAnsi" w:cs="AdvP403A40"/>
          <w:b/>
          <w:sz w:val="23"/>
          <w:szCs w:val="23"/>
        </w:rPr>
        <w:t>Transcriptional Analysis</w:t>
      </w:r>
    </w:p>
    <w:p w:rsidR="00BD242D" w:rsidRPr="00717389" w:rsidRDefault="00BD242D" w:rsidP="00717389">
      <w:pPr>
        <w:autoSpaceDE w:val="0"/>
        <w:autoSpaceDN w:val="0"/>
        <w:adjustRightInd w:val="0"/>
        <w:spacing w:after="0" w:line="360" w:lineRule="auto"/>
        <w:rPr>
          <w:rFonts w:cs="AdvP403A40"/>
          <w:sz w:val="23"/>
          <w:szCs w:val="23"/>
        </w:rPr>
      </w:pPr>
      <w:r w:rsidRPr="00717389">
        <w:rPr>
          <w:rFonts w:cs="AdvP49811"/>
          <w:sz w:val="23"/>
          <w:szCs w:val="23"/>
        </w:rPr>
        <w:t xml:space="preserve">Total RNA was purified from sorted cells was extracted with </w:t>
      </w:r>
      <w:proofErr w:type="spellStart"/>
      <w:r w:rsidRPr="00717389">
        <w:rPr>
          <w:rFonts w:cs="AdvP49811"/>
          <w:sz w:val="23"/>
          <w:szCs w:val="23"/>
        </w:rPr>
        <w:t>TRIzol</w:t>
      </w:r>
      <w:proofErr w:type="spellEnd"/>
      <w:r w:rsidRPr="00717389">
        <w:rPr>
          <w:rFonts w:cs="AdvP49811"/>
          <w:sz w:val="23"/>
          <w:szCs w:val="23"/>
        </w:rPr>
        <w:t xml:space="preserve"> (Life Technologies, Carlsbad, CA) and used to synthesize </w:t>
      </w:r>
      <w:proofErr w:type="spellStart"/>
      <w:r w:rsidRPr="00717389">
        <w:rPr>
          <w:rFonts w:cs="AdvP49811"/>
          <w:sz w:val="23"/>
          <w:szCs w:val="23"/>
        </w:rPr>
        <w:t>cDNA</w:t>
      </w:r>
      <w:proofErr w:type="spellEnd"/>
      <w:r w:rsidRPr="00717389">
        <w:rPr>
          <w:rFonts w:cs="AdvP49811"/>
          <w:sz w:val="23"/>
          <w:szCs w:val="23"/>
        </w:rPr>
        <w:t xml:space="preserve"> (Ovation </w:t>
      </w:r>
      <w:proofErr w:type="spellStart"/>
      <w:r w:rsidRPr="00717389">
        <w:rPr>
          <w:rFonts w:cs="AdvP49811"/>
          <w:sz w:val="23"/>
          <w:szCs w:val="23"/>
        </w:rPr>
        <w:t>PicoSL</w:t>
      </w:r>
      <w:proofErr w:type="spellEnd"/>
      <w:r w:rsidRPr="00717389">
        <w:rPr>
          <w:rFonts w:cs="AdvP49811"/>
          <w:sz w:val="23"/>
          <w:szCs w:val="23"/>
        </w:rPr>
        <w:t xml:space="preserve"> WTA Kit, </w:t>
      </w:r>
      <w:proofErr w:type="spellStart"/>
      <w:r w:rsidRPr="00717389">
        <w:rPr>
          <w:rFonts w:cs="AdvP49811"/>
          <w:sz w:val="23"/>
          <w:szCs w:val="23"/>
        </w:rPr>
        <w:t>NuGEN</w:t>
      </w:r>
      <w:proofErr w:type="spellEnd"/>
      <w:r w:rsidRPr="00717389">
        <w:rPr>
          <w:rFonts w:cs="AdvP49811"/>
          <w:sz w:val="23"/>
          <w:szCs w:val="23"/>
        </w:rPr>
        <w:t xml:space="preserve"> Technologies, San Carlos, CA). </w:t>
      </w:r>
      <w:proofErr w:type="spellStart"/>
      <w:r w:rsidRPr="00717389">
        <w:rPr>
          <w:rFonts w:cs="AdvP49811"/>
          <w:sz w:val="23"/>
          <w:szCs w:val="23"/>
        </w:rPr>
        <w:t>TaqMan</w:t>
      </w:r>
      <w:proofErr w:type="spellEnd"/>
      <w:r w:rsidRPr="00717389">
        <w:rPr>
          <w:rFonts w:cs="AdvP49811"/>
          <w:sz w:val="23"/>
          <w:szCs w:val="23"/>
        </w:rPr>
        <w:t xml:space="preserve"> Universal PCR Master Mix, No </w:t>
      </w:r>
      <w:proofErr w:type="spellStart"/>
      <w:r w:rsidRPr="00717389">
        <w:rPr>
          <w:rFonts w:cs="AdvP49811"/>
          <w:sz w:val="23"/>
          <w:szCs w:val="23"/>
        </w:rPr>
        <w:t>AmpErase</w:t>
      </w:r>
      <w:proofErr w:type="spellEnd"/>
      <w:r w:rsidRPr="00717389">
        <w:rPr>
          <w:rFonts w:cs="AdvP49811"/>
          <w:sz w:val="23"/>
          <w:szCs w:val="23"/>
        </w:rPr>
        <w:t xml:space="preserve"> and the following </w:t>
      </w:r>
      <w:proofErr w:type="spellStart"/>
      <w:r w:rsidRPr="00717389">
        <w:rPr>
          <w:rFonts w:cs="AdvP49811"/>
          <w:sz w:val="23"/>
          <w:szCs w:val="23"/>
        </w:rPr>
        <w:t>TaqMan</w:t>
      </w:r>
      <w:proofErr w:type="spellEnd"/>
      <w:r w:rsidRPr="00717389">
        <w:rPr>
          <w:rFonts w:cs="AdvP49811"/>
          <w:sz w:val="23"/>
          <w:szCs w:val="23"/>
        </w:rPr>
        <w:t xml:space="preserve"> Gene Expression FAM dye-labeled, non-primer limited assays were obtained from Life Technologies: </w:t>
      </w:r>
      <w:proofErr w:type="spellStart"/>
      <w:r w:rsidRPr="00717389">
        <w:rPr>
          <w:rFonts w:cs="AdvP49812"/>
          <w:sz w:val="23"/>
          <w:szCs w:val="23"/>
        </w:rPr>
        <w:t>Bact</w:t>
      </w:r>
      <w:proofErr w:type="spellEnd"/>
      <w:r w:rsidRPr="00717389">
        <w:rPr>
          <w:rFonts w:cs="AdvP49812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(Mm00607939_s1), </w:t>
      </w:r>
      <w:r w:rsidRPr="00717389">
        <w:rPr>
          <w:rFonts w:cs="AdvP49812"/>
          <w:sz w:val="23"/>
          <w:szCs w:val="23"/>
        </w:rPr>
        <w:t xml:space="preserve">Bcl6 </w:t>
      </w:r>
      <w:r w:rsidRPr="00717389">
        <w:rPr>
          <w:rFonts w:cs="AdvP49811"/>
          <w:sz w:val="23"/>
          <w:szCs w:val="23"/>
        </w:rPr>
        <w:t xml:space="preserve">(mm00477633_m1), </w:t>
      </w:r>
      <w:r w:rsidRPr="00717389">
        <w:rPr>
          <w:rFonts w:cs="AdvP49812"/>
          <w:sz w:val="23"/>
          <w:szCs w:val="23"/>
        </w:rPr>
        <w:t xml:space="preserve">B2m </w:t>
      </w:r>
      <w:r w:rsidRPr="00717389">
        <w:rPr>
          <w:rFonts w:cs="AdvP49811"/>
          <w:sz w:val="23"/>
          <w:szCs w:val="23"/>
        </w:rPr>
        <w:t xml:space="preserve">(Mm00437762_m1), </w:t>
      </w:r>
      <w:r w:rsidRPr="00717389">
        <w:rPr>
          <w:rFonts w:cs="AdvP49812"/>
          <w:sz w:val="23"/>
          <w:szCs w:val="23"/>
        </w:rPr>
        <w:t xml:space="preserve">Ccr7 </w:t>
      </w:r>
      <w:r w:rsidRPr="00717389">
        <w:rPr>
          <w:rFonts w:cs="AdvP49811"/>
          <w:sz w:val="23"/>
          <w:szCs w:val="23"/>
        </w:rPr>
        <w:t xml:space="preserve">(Mm01301785_m1), </w:t>
      </w:r>
      <w:r w:rsidRPr="00717389">
        <w:rPr>
          <w:rFonts w:cs="AdvP49812"/>
          <w:sz w:val="23"/>
          <w:szCs w:val="23"/>
        </w:rPr>
        <w:t xml:space="preserve">Cxcr5 </w:t>
      </w:r>
      <w:r w:rsidRPr="00717389">
        <w:rPr>
          <w:rFonts w:cs="AdvP49811"/>
          <w:sz w:val="23"/>
          <w:szCs w:val="23"/>
        </w:rPr>
        <w:t xml:space="preserve">(MM00432086_m1), </w:t>
      </w:r>
      <w:r w:rsidRPr="00717389">
        <w:rPr>
          <w:rFonts w:cs="AdvP49812"/>
          <w:sz w:val="23"/>
          <w:szCs w:val="23"/>
        </w:rPr>
        <w:t xml:space="preserve">Foxp3 </w:t>
      </w:r>
      <w:r w:rsidRPr="00717389">
        <w:rPr>
          <w:rFonts w:cs="AdvP49811"/>
          <w:sz w:val="23"/>
          <w:szCs w:val="23"/>
        </w:rPr>
        <w:t xml:space="preserve">(Mm00475162_m1), </w:t>
      </w:r>
      <w:r w:rsidRPr="00717389">
        <w:rPr>
          <w:rFonts w:cs="AdvP49812"/>
          <w:sz w:val="23"/>
          <w:szCs w:val="23"/>
        </w:rPr>
        <w:t xml:space="preserve">Gata3 </w:t>
      </w:r>
      <w:r w:rsidRPr="00717389">
        <w:rPr>
          <w:rFonts w:cs="AdvP49811"/>
          <w:sz w:val="23"/>
          <w:szCs w:val="23"/>
        </w:rPr>
        <w:t xml:space="preserve">(mm00484683_m1), </w:t>
      </w:r>
      <w:proofErr w:type="spellStart"/>
      <w:r w:rsidRPr="00717389">
        <w:rPr>
          <w:rFonts w:cs="AdvP49812"/>
          <w:sz w:val="23"/>
          <w:szCs w:val="23"/>
        </w:rPr>
        <w:t>Gapdh</w:t>
      </w:r>
      <w:proofErr w:type="spellEnd"/>
      <w:r w:rsidRPr="00717389">
        <w:rPr>
          <w:rFonts w:cs="AdvP49812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(Mm99999915_g1), </w:t>
      </w:r>
      <w:proofErr w:type="spellStart"/>
      <w:r w:rsidRPr="00717389">
        <w:rPr>
          <w:rFonts w:cs="AdvP49812"/>
          <w:sz w:val="23"/>
          <w:szCs w:val="23"/>
        </w:rPr>
        <w:t>Icos</w:t>
      </w:r>
      <w:proofErr w:type="spellEnd"/>
      <w:r w:rsidRPr="00717389">
        <w:rPr>
          <w:rFonts w:cs="AdvP49812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(Mm00497600_m1), </w:t>
      </w:r>
      <w:proofErr w:type="spellStart"/>
      <w:r w:rsidRPr="00717389">
        <w:rPr>
          <w:rFonts w:cs="AdvP49812"/>
          <w:sz w:val="23"/>
          <w:szCs w:val="23"/>
        </w:rPr>
        <w:t>Ifng</w:t>
      </w:r>
      <w:proofErr w:type="spellEnd"/>
      <w:r w:rsidRPr="00717389">
        <w:rPr>
          <w:rFonts w:cs="AdvP49812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(Mm01168134), </w:t>
      </w:r>
      <w:r w:rsidRPr="00717389">
        <w:rPr>
          <w:rFonts w:cs="AdvP49812"/>
          <w:sz w:val="23"/>
          <w:szCs w:val="23"/>
        </w:rPr>
        <w:t xml:space="preserve">Il2 </w:t>
      </w:r>
      <w:r w:rsidRPr="00717389">
        <w:rPr>
          <w:rFonts w:cs="AdvP49811"/>
          <w:sz w:val="23"/>
          <w:szCs w:val="23"/>
        </w:rPr>
        <w:t xml:space="preserve">(Mm00434256_m1), </w:t>
      </w:r>
      <w:r w:rsidRPr="00717389">
        <w:rPr>
          <w:rFonts w:cs="AdvP49812"/>
          <w:sz w:val="23"/>
          <w:szCs w:val="23"/>
        </w:rPr>
        <w:t xml:space="preserve">Il4 </w:t>
      </w:r>
      <w:r w:rsidRPr="00717389">
        <w:rPr>
          <w:rFonts w:cs="AdvP49811"/>
          <w:sz w:val="23"/>
          <w:szCs w:val="23"/>
        </w:rPr>
        <w:t xml:space="preserve">(Mm00445259_m1), </w:t>
      </w:r>
      <w:r w:rsidRPr="00717389">
        <w:rPr>
          <w:rFonts w:cs="AdvP49812"/>
          <w:sz w:val="23"/>
          <w:szCs w:val="23"/>
        </w:rPr>
        <w:t xml:space="preserve">Il17a </w:t>
      </w:r>
      <w:r w:rsidRPr="00717389">
        <w:rPr>
          <w:rFonts w:cs="AdvP49811"/>
          <w:sz w:val="23"/>
          <w:szCs w:val="23"/>
        </w:rPr>
        <w:t xml:space="preserve">(Mm00439618_m1), </w:t>
      </w:r>
      <w:r w:rsidRPr="00717389">
        <w:rPr>
          <w:rFonts w:cs="AdvP49812"/>
          <w:sz w:val="23"/>
          <w:szCs w:val="23"/>
        </w:rPr>
        <w:t xml:space="preserve">Il21 </w:t>
      </w:r>
      <w:r w:rsidRPr="00717389">
        <w:rPr>
          <w:rFonts w:cs="AdvP49811"/>
          <w:sz w:val="23"/>
          <w:szCs w:val="23"/>
        </w:rPr>
        <w:t xml:space="preserve">(Mm00517640_m1), </w:t>
      </w:r>
      <w:r w:rsidRPr="00717389">
        <w:rPr>
          <w:rFonts w:cs="AdvP49812"/>
          <w:sz w:val="23"/>
          <w:szCs w:val="23"/>
        </w:rPr>
        <w:t xml:space="preserve">Pdcd1 </w:t>
      </w:r>
      <w:r w:rsidRPr="00717389">
        <w:rPr>
          <w:rFonts w:cs="AdvP49811"/>
          <w:sz w:val="23"/>
          <w:szCs w:val="23"/>
        </w:rPr>
        <w:t xml:space="preserve">(MM00435532_m1), </w:t>
      </w:r>
      <w:r w:rsidRPr="00717389">
        <w:rPr>
          <w:rFonts w:cs="AdvP49812"/>
          <w:sz w:val="23"/>
          <w:szCs w:val="23"/>
        </w:rPr>
        <w:t xml:space="preserve">Prdm1 </w:t>
      </w:r>
      <w:r w:rsidRPr="00717389">
        <w:rPr>
          <w:rFonts w:cs="AdvP49811"/>
          <w:sz w:val="23"/>
          <w:szCs w:val="23"/>
        </w:rPr>
        <w:t xml:space="preserve">(Mm01187285_m1), </w:t>
      </w:r>
      <w:proofErr w:type="spellStart"/>
      <w:r w:rsidRPr="00717389">
        <w:rPr>
          <w:rFonts w:cs="AdvP49812"/>
          <w:sz w:val="23"/>
          <w:szCs w:val="23"/>
        </w:rPr>
        <w:t>Rorc</w:t>
      </w:r>
      <w:proofErr w:type="spellEnd"/>
      <w:r w:rsidRPr="00717389">
        <w:rPr>
          <w:rFonts w:cs="AdvP49812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 xml:space="preserve">(Mm01261022_m1), </w:t>
      </w:r>
      <w:r w:rsidRPr="00717389">
        <w:rPr>
          <w:rFonts w:cs="AdvP49812"/>
          <w:sz w:val="23"/>
          <w:szCs w:val="23"/>
        </w:rPr>
        <w:t xml:space="preserve">Tbx21 </w:t>
      </w:r>
      <w:r w:rsidRPr="00717389">
        <w:rPr>
          <w:rFonts w:cs="AdvP49811"/>
          <w:sz w:val="23"/>
          <w:szCs w:val="23"/>
        </w:rPr>
        <w:t xml:space="preserve">(MM00450960_m1), </w:t>
      </w:r>
      <w:r w:rsidRPr="00717389">
        <w:rPr>
          <w:rFonts w:cs="AdvP49812"/>
          <w:sz w:val="23"/>
          <w:szCs w:val="23"/>
        </w:rPr>
        <w:t xml:space="preserve">Tnfrsf4 </w:t>
      </w:r>
      <w:r w:rsidRPr="00717389">
        <w:rPr>
          <w:rFonts w:cs="AdvP49811"/>
          <w:sz w:val="23"/>
          <w:szCs w:val="23"/>
        </w:rPr>
        <w:t xml:space="preserve">(Mm00442039_m1). Real-time PCR reactions were run in triplicate with an Applied </w:t>
      </w:r>
      <w:proofErr w:type="spellStart"/>
      <w:r w:rsidRPr="00717389">
        <w:rPr>
          <w:rFonts w:cs="AdvP49811"/>
          <w:sz w:val="23"/>
          <w:szCs w:val="23"/>
        </w:rPr>
        <w:t>Biosystems</w:t>
      </w:r>
      <w:proofErr w:type="spellEnd"/>
      <w:r w:rsidRPr="00717389">
        <w:rPr>
          <w:rFonts w:cs="AdvP49811"/>
          <w:sz w:val="23"/>
          <w:szCs w:val="23"/>
        </w:rPr>
        <w:t xml:space="preserve"> 7900HT Sequence Detection System (Life Technologies). Data were analyzed with SDS v2.3 software (Life Technologies), and normalized to the average of </w:t>
      </w:r>
      <w:proofErr w:type="spellStart"/>
      <w:r w:rsidRPr="00717389">
        <w:rPr>
          <w:rFonts w:cs="AdvP49812"/>
          <w:sz w:val="23"/>
          <w:szCs w:val="23"/>
        </w:rPr>
        <w:t>Bact</w:t>
      </w:r>
      <w:proofErr w:type="spellEnd"/>
      <w:r w:rsidRPr="00717389">
        <w:rPr>
          <w:rFonts w:cs="AdvP49811"/>
          <w:sz w:val="23"/>
          <w:szCs w:val="23"/>
        </w:rPr>
        <w:t xml:space="preserve">, </w:t>
      </w:r>
      <w:r w:rsidRPr="00717389">
        <w:rPr>
          <w:rFonts w:cs="AdvP49812"/>
          <w:sz w:val="23"/>
          <w:szCs w:val="23"/>
        </w:rPr>
        <w:t>B2m</w:t>
      </w:r>
      <w:r w:rsidRPr="00717389">
        <w:rPr>
          <w:rFonts w:cs="AdvP49811"/>
          <w:sz w:val="23"/>
          <w:szCs w:val="23"/>
        </w:rPr>
        <w:t xml:space="preserve">, </w:t>
      </w:r>
      <w:proofErr w:type="spellStart"/>
      <w:proofErr w:type="gramStart"/>
      <w:r w:rsidRPr="00717389">
        <w:rPr>
          <w:rFonts w:cs="AdvP49812"/>
          <w:sz w:val="23"/>
          <w:szCs w:val="23"/>
        </w:rPr>
        <w:t>Gapdh</w:t>
      </w:r>
      <w:proofErr w:type="spellEnd"/>
      <w:proofErr w:type="gramEnd"/>
      <w:r w:rsidRPr="00717389">
        <w:rPr>
          <w:rFonts w:cs="AdvP49812"/>
          <w:sz w:val="23"/>
          <w:szCs w:val="23"/>
        </w:rPr>
        <w:t xml:space="preserve"> </w:t>
      </w:r>
      <w:r w:rsidRPr="00717389">
        <w:rPr>
          <w:rFonts w:cs="AdvP49811"/>
          <w:sz w:val="23"/>
          <w:szCs w:val="23"/>
        </w:rPr>
        <w:t>expression.</w:t>
      </w:r>
    </w:p>
    <w:sectPr w:rsidR="00BD242D" w:rsidRPr="007173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dvP403A40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vP49811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697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dvP3EAA99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vP44E6F4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dvP49812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3C"/>
    <w:rsid w:val="0037517A"/>
    <w:rsid w:val="003A5D01"/>
    <w:rsid w:val="0041466C"/>
    <w:rsid w:val="00524AC2"/>
    <w:rsid w:val="00717389"/>
    <w:rsid w:val="008D53AB"/>
    <w:rsid w:val="00BD242D"/>
    <w:rsid w:val="00BD3C3D"/>
    <w:rsid w:val="00F0183C"/>
    <w:rsid w:val="00F71075"/>
    <w:rsid w:val="00FE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4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3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4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D24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2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FE3D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FE3D19"/>
  </w:style>
  <w:style w:type="paragraph" w:customStyle="1" w:styleId="h-lead">
    <w:name w:val="h-lead"/>
    <w:basedOn w:val="Normal"/>
    <w:rsid w:val="00FE3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24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FE3D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24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BD242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D242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3Char">
    <w:name w:val="Heading 3 Char"/>
    <w:basedOn w:val="DefaultParagraphFont"/>
    <w:link w:val="Heading3"/>
    <w:uiPriority w:val="9"/>
    <w:rsid w:val="00FE3D1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pple-converted-space">
    <w:name w:val="apple-converted-space"/>
    <w:basedOn w:val="DefaultParagraphFont"/>
    <w:rsid w:val="00FE3D19"/>
  </w:style>
  <w:style w:type="paragraph" w:customStyle="1" w:styleId="h-lead">
    <w:name w:val="h-lead"/>
    <w:basedOn w:val="Normal"/>
    <w:rsid w:val="00FE3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50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972</Words>
  <Characters>5546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Bandyopadhyay, Sanjukta</dc:creator>
  <cp:lastModifiedBy>Bandyopadhyay, Sanjukta</cp:lastModifiedBy>
  <cp:revision>3</cp:revision>
  <dcterms:created xsi:type="dcterms:W3CDTF">2013-01-25T16:55:00Z</dcterms:created>
  <dcterms:modified xsi:type="dcterms:W3CDTF">2013-01-31T18:05:00Z</dcterms:modified>
</cp:coreProperties>
</file>